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Vingåker kommunfullmäktige</w:t>
      </w:r>
    </w:p>
    <w:p>
      <w:pPr>
        <w:pStyle w:val="Heading1"/>
      </w:pPr>
      <w:r>
        <w:t xml:space="preserve">Utökade fritidsaktiviteter för unga i Vingåker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Vingåker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Förebyggande arbete mot utanförskap är viktigt. Få kommunala aktiviteter finns för ungdomar utanför skolan.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Vingåker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utöka öppettiderna på fritidsgården.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idrottsföreningar ges ökat stöd för ungdomsverksamhet.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sommarlovsaktiviteter utökas med 20 %.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utvärdering sker efter ett år.</w:t>
      </w:r>
    </w:p>
    <w:p>
      <w:pPr>
        <w:spacing w:before="360"/>
      </w:pPr>
    </w:p>
    <w:p>
      <w:r>
        <w:t xml:space="preserve">Vingåker,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Vingåker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2026-06-06T01:48:33.347Z</dcterms:created>
  <dcterms:modified xsi:type="dcterms:W3CDTF">2026-06-06T01:48:33.347Z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